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0A" w:rsidRPr="00E07640" w:rsidRDefault="007A780A" w:rsidP="00A963A1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</w:pPr>
      <w:r w:rsidRPr="00E07640"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  <w:t>ПРОТОКОЛ № 5</w:t>
      </w:r>
      <w:r w:rsidRPr="00E07640"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  <w:t>6</w:t>
      </w:r>
    </w:p>
    <w:p w:rsidR="007A780A" w:rsidRPr="00E07640" w:rsidRDefault="007A780A" w:rsidP="00A963A1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>засідання тендерного комітету</w:t>
      </w:r>
    </w:p>
    <w:p w:rsidR="007A780A" w:rsidRPr="00E07640" w:rsidRDefault="007A780A" w:rsidP="00A963A1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>Інституту історії України НАН України</w:t>
      </w:r>
    </w:p>
    <w:p w:rsidR="007A780A" w:rsidRPr="00E07640" w:rsidRDefault="007A780A" w:rsidP="00A963A1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>від 0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>9 вересня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2021 року</w:t>
      </w:r>
    </w:p>
    <w:p w:rsidR="007A780A" w:rsidRPr="00E07640" w:rsidRDefault="007A780A" w:rsidP="00A963A1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7A780A" w:rsidRPr="00E07640" w:rsidRDefault="007A780A" w:rsidP="00E07640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ПРИСУТНІ: голова тендерного комітету </w:t>
      </w:r>
      <w:proofErr w:type="spellStart"/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>Боряк</w:t>
      </w:r>
      <w:proofErr w:type="spellEnd"/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Г.В., заступник голови тендерного комітету </w:t>
      </w:r>
      <w:proofErr w:type="spellStart"/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>Рудь</w:t>
      </w:r>
      <w:proofErr w:type="spellEnd"/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М.П., секретар комітету </w:t>
      </w:r>
      <w:proofErr w:type="spellStart"/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>Артамонов</w:t>
      </w:r>
      <w:proofErr w:type="spellEnd"/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О.О.</w:t>
      </w:r>
    </w:p>
    <w:p w:rsidR="00E07640" w:rsidRDefault="00E07640" w:rsidP="00E07640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7A780A" w:rsidRPr="00E07640" w:rsidRDefault="007A780A" w:rsidP="00E07640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>ПОРЯДОК ДЕННИЙ:</w:t>
      </w:r>
    </w:p>
    <w:p w:rsidR="00E07640" w:rsidRPr="00E07640" w:rsidRDefault="007A780A" w:rsidP="00E07640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1. Про укладання </w:t>
      </w:r>
      <w:r w:rsidR="00C02DE1"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Додаткової угоди № 2 від 09.09.2021 р. до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Договору № </w:t>
      </w:r>
      <w:r w:rsidR="00C02DE1" w:rsidRPr="00E076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uk-UA"/>
        </w:rPr>
        <w:t xml:space="preserve">2122160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</w:t>
      </w:r>
      <w:r w:rsidR="00C02DE1"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10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.0</w:t>
      </w:r>
      <w:r w:rsidR="00C02DE1"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2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.20</w:t>
      </w:r>
      <w:r w:rsidR="00C02DE1"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12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р. з</w:t>
      </w:r>
      <w:r w:rsidR="00C02DE1"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</w:t>
      </w:r>
      <w:r w:rsidR="00C02DE1" w:rsidRPr="00E07640">
        <w:rPr>
          <w:rFonts w:asciiTheme="majorHAnsi" w:hAnsiTheme="majorHAnsi" w:cstheme="majorHAnsi"/>
          <w:sz w:val="22"/>
          <w:szCs w:val="22"/>
          <w:lang w:val="uk-UA"/>
        </w:rPr>
        <w:t>Акціонерн</w:t>
      </w:r>
      <w:r w:rsidR="00C02DE1" w:rsidRPr="00E07640">
        <w:rPr>
          <w:rFonts w:asciiTheme="majorHAnsi" w:hAnsiTheme="majorHAnsi" w:cstheme="majorHAnsi"/>
          <w:sz w:val="22"/>
          <w:szCs w:val="22"/>
          <w:lang w:val="uk-UA"/>
        </w:rPr>
        <w:t>им</w:t>
      </w:r>
      <w:r w:rsidR="00C02DE1"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товариство</w:t>
      </w:r>
      <w:r w:rsidR="00C02DE1" w:rsidRPr="00E07640">
        <w:rPr>
          <w:rFonts w:asciiTheme="majorHAnsi" w:hAnsiTheme="majorHAnsi" w:cstheme="majorHAnsi"/>
          <w:sz w:val="22"/>
          <w:szCs w:val="22"/>
          <w:lang w:val="uk-UA"/>
        </w:rPr>
        <w:t>м</w:t>
      </w:r>
      <w:r w:rsidR="00C02DE1"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«Укртелеком»</w:t>
      </w:r>
      <w:r w:rsidR="00C02DE1"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збільш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ення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сум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и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договору на </w:t>
      </w:r>
      <w:r w:rsidR="00A963A1"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20450,00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п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очаткова сума договору 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становила </w:t>
      </w:r>
      <w:r w:rsidR="00A963A1"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49500,00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грн.) у</w:t>
      </w:r>
      <w:r w:rsidR="00A963A1" w:rsidRPr="00E07640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</w:t>
      </w:r>
      <w:r w:rsidR="00A963A1" w:rsidRPr="00E07640">
        <w:rPr>
          <w:rFonts w:asciiTheme="majorHAnsi" w:hAnsiTheme="majorHAnsi" w:cstheme="majorHAnsi"/>
          <w:sz w:val="22"/>
          <w:szCs w:val="22"/>
          <w:lang w:val="uk-UA"/>
        </w:rPr>
        <w:t>зв’язку з</w:t>
      </w:r>
      <w:r w:rsidR="00A963A1" w:rsidRPr="00E07640">
        <w:rPr>
          <w:rFonts w:asciiTheme="majorHAnsi" w:hAnsiTheme="majorHAnsi" w:cstheme="majorHAnsi"/>
          <w:sz w:val="22"/>
          <w:szCs w:val="22"/>
          <w:lang w:val="uk-UA"/>
        </w:rPr>
        <w:t>і</w:t>
      </w:r>
      <w:r w:rsidR="00A963A1"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="00A963A1" w:rsidRPr="00E07640">
        <w:rPr>
          <w:rFonts w:asciiTheme="majorHAnsi" w:hAnsiTheme="majorHAnsi" w:cstheme="majorHAnsi"/>
          <w:bCs/>
          <w:sz w:val="22"/>
          <w:szCs w:val="22"/>
          <w:lang w:val="uk-UA"/>
        </w:rPr>
        <w:t>збільшенням</w:t>
      </w:r>
      <w:r w:rsidR="00A963A1" w:rsidRPr="00E07640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</w:t>
      </w:r>
      <w:r w:rsidR="00A963A1" w:rsidRPr="00E07640">
        <w:rPr>
          <w:rFonts w:asciiTheme="majorHAnsi" w:hAnsiTheme="majorHAnsi" w:cstheme="majorHAnsi"/>
          <w:sz w:val="22"/>
          <w:szCs w:val="22"/>
          <w:lang w:val="uk-UA"/>
        </w:rPr>
        <w:t>потреб Споживача на оплату телекомунікаційних послуг</w:t>
      </w:r>
      <w:r w:rsidR="00A963A1"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="00A963A1" w:rsidRPr="00E07640">
        <w:rPr>
          <w:rFonts w:asciiTheme="majorHAnsi" w:hAnsiTheme="majorHAnsi" w:cstheme="majorHAnsi"/>
          <w:sz w:val="22"/>
          <w:szCs w:val="22"/>
          <w:lang w:val="uk-UA"/>
        </w:rPr>
        <w:t>на 2021 рік</w:t>
      </w:r>
      <w:r w:rsidR="00A963A1"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. Остаточна сума за договором становитиме </w:t>
      </w:r>
      <w:r w:rsidR="00A963A1"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69 950,00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(шістдесят </w:t>
      </w:r>
      <w:r w:rsidR="00E07640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дев’ять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тисяч дев’ятсот п’ятдесят гривень 00 копійок)</w:t>
      </w:r>
      <w:r w:rsidR="00E07640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з ПДВ</w:t>
      </w:r>
      <w:r w:rsidR="00A963A1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>.</w:t>
      </w:r>
      <w:r w:rsid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="00E07640"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Внести відповідні зміни до </w:t>
      </w:r>
      <w:r w:rsidR="00E07640"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Договору на офіційному майданчику Прозоро.</w:t>
      </w:r>
    </w:p>
    <w:p w:rsidR="00E07640" w:rsidRPr="00E07640" w:rsidRDefault="00E07640" w:rsidP="00E07640">
      <w:pPr>
        <w:pStyle w:val="Default"/>
        <w:ind w:firstLine="720"/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</w:pPr>
    </w:p>
    <w:p w:rsidR="00A963A1" w:rsidRDefault="00A963A1" w:rsidP="00E07640">
      <w:pPr>
        <w:pStyle w:val="Default"/>
        <w:ind w:firstLine="720"/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04595B">
        <w:rPr>
          <w:rFonts w:asciiTheme="majorHAnsi" w:hAnsiTheme="majorHAnsi" w:cstheme="majorHAnsi"/>
          <w:b/>
          <w:sz w:val="22"/>
          <w:szCs w:val="22"/>
          <w:lang w:val="uk-UA"/>
        </w:rPr>
        <w:t>Підстава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– </w:t>
      </w:r>
      <w:proofErr w:type="spellStart"/>
      <w:r w:rsidRPr="00E07640">
        <w:rPr>
          <w:rFonts w:asciiTheme="majorHAnsi" w:hAnsiTheme="majorHAnsi" w:cstheme="majorHAnsi"/>
          <w:sz w:val="22"/>
          <w:szCs w:val="22"/>
          <w:lang w:val="uk-UA"/>
        </w:rPr>
        <w:t>cт</w:t>
      </w:r>
      <w:proofErr w:type="spellEnd"/>
      <w:r w:rsidRPr="00E07640">
        <w:rPr>
          <w:rFonts w:asciiTheme="majorHAnsi" w:hAnsiTheme="majorHAnsi" w:cstheme="majorHAnsi"/>
          <w:sz w:val="22"/>
          <w:szCs w:val="22"/>
          <w:lang w:val="uk-UA"/>
        </w:rPr>
        <w:t>. 35</w:t>
      </w:r>
      <w:r w:rsidR="00E07640" w:rsidRPr="00E07640">
        <w:rPr>
          <w:rFonts w:asciiTheme="majorHAnsi" w:hAnsiTheme="majorHAnsi" w:cstheme="majorHAnsi"/>
          <w:sz w:val="22"/>
          <w:szCs w:val="22"/>
          <w:lang w:val="uk-UA"/>
        </w:rPr>
        <w:t>.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="00E07640" w:rsidRPr="00E07640">
        <w:rPr>
          <w:rFonts w:asciiTheme="majorHAnsi" w:hAnsiTheme="majorHAnsi" w:cstheme="majorHAnsi"/>
          <w:sz w:val="22"/>
          <w:szCs w:val="22"/>
          <w:lang w:val="uk-UA"/>
        </w:rPr>
        <w:t>П.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2 Відсутність конкуренції (у тому числі з технічних причин) на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відповідному ринку, внаслідок чого договір про закупівлю може бути укладено лише з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одним постачальником, за відсутності при цьому альтернативи АТ «Укртелеком», в особі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Київської міської філії АТ «Укртелеком», як </w:t>
      </w:r>
      <w:r w:rsidR="00E07640" w:rsidRPr="00E07640">
        <w:rPr>
          <w:rFonts w:asciiTheme="majorHAnsi" w:hAnsiTheme="majorHAnsi" w:cstheme="majorHAnsi"/>
          <w:sz w:val="22"/>
          <w:szCs w:val="22"/>
          <w:lang w:val="uk-UA"/>
        </w:rPr>
        <w:t>загально визначений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державний оператор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електрозв’язку, надає Інституту історії України Національної академії наук України в м.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Києві телекомунікаційні послуги, а саме: з надання в користування міських телефонних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номерів; з надання в користування з’єднувальних ліній для підключення відомчих АТС до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мережі загального користування; з надання місцевого, міжміського та міжнародного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телефонного зв’язку з міських телефонних номерів; з надання в користування ліній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безпосереднього зв’язку; надання в користування місця в телефонній каналізації АТ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«Укртелеком», є монополістом. АТ «Укртелеком» працює із застосуванням граничних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тарифів на загальнодоступні телекомунікаційні послуги, затверджених рішенням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Національної комісії з питань регулювання зв’язку в Україні, які мають застосовувати всі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оператори телекомунікацій, що надають телекомунікаційні послуги і розташовані в Україні.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Крім того зазначені послуги надаються АТ «Укртелеком» в цілодобовому режимі та є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послугами фіксованого зв’язку. Це означає, що для отримання таких послуг як надання в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користування міських телефонних номерів, надання в користування з’єднувальних ліній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для підключення відомчих АТС, надання місцевого, міжміського та міжнародного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телефонного зв’язку від іншого оператора необхідно прокладати нові кабельні лінії зв’язку,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що пов’язано із значними витратами коштів та займає великий проміжок часу. Перехід до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використання телекомунікаційних ресурсів інших операторів призведе не тільки до значних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витрат на перебудову порядку отримання телекомунікаційного ресурсу, а й до погіршення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оперативного зв’язку та створить перешкоди в роботі самого Інституту.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Через об’єктивну відсутність конкуренції (в тому числі з технічних причин) у даному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випадку, відповідно до частини 2 статті 35 Закону України від 25 грудня 2015 № 922 «Про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публічні закупівлі», наша установа не має можливості отримувати перелічені послуги в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інших організаціях, тому проведення процедури переговорів закупівлі з подальшим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>укладанням договору, можливе лише з Акціонерним товариством «Укртелеком».</w:t>
      </w:r>
    </w:p>
    <w:p w:rsidR="00E07640" w:rsidRPr="00E07640" w:rsidRDefault="00E07640" w:rsidP="00E07640">
      <w:pPr>
        <w:pStyle w:val="Default"/>
        <w:ind w:firstLine="720"/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</w:pPr>
    </w:p>
    <w:p w:rsidR="00E07640" w:rsidRPr="0004595B" w:rsidRDefault="00E07640" w:rsidP="0004595B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 Про укладання Договору №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110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від 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.2021 р. з </w:t>
      </w:r>
      <w:r w:rsidRPr="0004595B">
        <w:rPr>
          <w:rFonts w:asciiTheme="majorHAnsi" w:hAnsiTheme="majorHAnsi" w:cstheme="majorHAnsi"/>
          <w:bCs/>
          <w:sz w:val="22"/>
          <w:szCs w:val="22"/>
        </w:rPr>
        <w:t>ТОВАРИСТВО</w:t>
      </w:r>
      <w:r w:rsidRPr="0004595B">
        <w:rPr>
          <w:rFonts w:asciiTheme="majorHAnsi" w:hAnsiTheme="majorHAnsi" w:cstheme="majorHAnsi"/>
          <w:bCs/>
          <w:sz w:val="22"/>
          <w:szCs w:val="22"/>
          <w:lang w:val="uk-UA"/>
        </w:rPr>
        <w:t xml:space="preserve">М </w:t>
      </w:r>
      <w:r w:rsidRPr="0004595B">
        <w:rPr>
          <w:rFonts w:asciiTheme="majorHAnsi" w:hAnsiTheme="majorHAnsi" w:cstheme="majorHAnsi"/>
          <w:bCs/>
          <w:sz w:val="22"/>
          <w:szCs w:val="22"/>
        </w:rPr>
        <w:t xml:space="preserve"> З ОБМЕЖЕНОЮ ВІДПОВІДАЛЬНІСТЮ «ВІВО ГРУП»</w:t>
      </w:r>
      <w:r w:rsidRPr="000459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 xml:space="preserve">послуг з 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 xml:space="preserve">ремонту і 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 xml:space="preserve">технічного обслуговування 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>системи опалення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 суму </w:t>
      </w:r>
      <w:r w:rsidRPr="0004595B">
        <w:rPr>
          <w:rFonts w:asciiTheme="majorHAnsi" w:hAnsiTheme="majorHAnsi" w:cstheme="majorHAnsi"/>
          <w:b/>
          <w:sz w:val="22"/>
          <w:szCs w:val="22"/>
          <w:shd w:val="clear" w:color="auto" w:fill="FDFEFD"/>
        </w:rPr>
        <w:t>12`996.00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грн. 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(</w:t>
      </w:r>
      <w:r w:rsid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дванадцять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тисяч </w:t>
      </w:r>
      <w:r w:rsid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дев’ятсот дев’яносто шість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грн. </w:t>
      </w:r>
      <w:r w:rsid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00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коп.) з ПДВ згідно ДК 021:2015 код </w:t>
      </w:r>
      <w:r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 </w:t>
      </w:r>
      <w:r w:rsidR="0004595B" w:rsidRPr="0004595B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50800000-3</w:t>
      </w:r>
      <w:r w:rsidR="0004595B"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04595B"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–</w:t>
      </w:r>
      <w:r w:rsidR="0004595B"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04595B"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="0004595B" w:rsidRPr="0004595B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Послуги з різних видів ремонту і технічного обслуговування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7A780A" w:rsidRPr="00E07640" w:rsidRDefault="007A780A" w:rsidP="00E07640">
      <w:pPr>
        <w:pStyle w:val="Default"/>
        <w:ind w:firstLine="72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uk-UA"/>
        </w:rPr>
      </w:pPr>
    </w:p>
    <w:p w:rsidR="007A780A" w:rsidRPr="00E07640" w:rsidRDefault="007A780A" w:rsidP="00A963A1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uk-UA"/>
        </w:rPr>
      </w:pPr>
      <w:r w:rsidRPr="00E07640">
        <w:rPr>
          <w:rFonts w:asciiTheme="majorHAnsi" w:hAnsiTheme="majorHAnsi" w:cstheme="majorHAnsi"/>
          <w:color w:val="auto"/>
          <w:sz w:val="22"/>
          <w:szCs w:val="22"/>
          <w:lang w:val="uk-UA"/>
        </w:rPr>
        <w:t xml:space="preserve">ВИСТУПИЛИ: </w:t>
      </w:r>
    </w:p>
    <w:p w:rsidR="007A780A" w:rsidRPr="00E07640" w:rsidRDefault="007A780A" w:rsidP="00A963A1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2"/>
          <w:szCs w:val="22"/>
        </w:rPr>
      </w:pPr>
      <w:proofErr w:type="spellStart"/>
      <w:r w:rsidRPr="00E07640">
        <w:rPr>
          <w:rFonts w:cstheme="majorHAnsi"/>
          <w:b w:val="0"/>
          <w:color w:val="auto"/>
          <w:sz w:val="22"/>
          <w:szCs w:val="22"/>
        </w:rPr>
        <w:t>Рудь</w:t>
      </w:r>
      <w:proofErr w:type="spellEnd"/>
      <w:r w:rsidRPr="00E07640">
        <w:rPr>
          <w:rFonts w:cstheme="majorHAnsi"/>
          <w:b w:val="0"/>
          <w:color w:val="auto"/>
          <w:sz w:val="22"/>
          <w:szCs w:val="22"/>
        </w:rPr>
        <w:t xml:space="preserve"> М.П., який надав інформацію:</w:t>
      </w:r>
    </w:p>
    <w:p w:rsidR="0004595B" w:rsidRPr="00E07640" w:rsidRDefault="0004595B" w:rsidP="0004595B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1. Про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намір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укладання Додаткової угоди № 2 від 09.09.2021 р. до Договору №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uk-UA"/>
        </w:rPr>
        <w:t xml:space="preserve">2122160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10.02.2012 р. з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Акціонерним товариством «Укртелеком»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збільшення суми договору на </w:t>
      </w:r>
      <w:r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20450,00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(початкова сума договору становила </w:t>
      </w:r>
      <w:r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49500,00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грн.) у</w:t>
      </w:r>
      <w:r w:rsidRPr="00E07640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зв’язку зі </w:t>
      </w:r>
      <w:r w:rsidRPr="00E07640">
        <w:rPr>
          <w:rFonts w:asciiTheme="majorHAnsi" w:hAnsiTheme="majorHAnsi" w:cstheme="majorHAnsi"/>
          <w:bCs/>
          <w:sz w:val="22"/>
          <w:szCs w:val="22"/>
          <w:lang w:val="uk-UA"/>
        </w:rPr>
        <w:t>збільшенням</w:t>
      </w:r>
      <w:r w:rsidRPr="00E07640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потреб Споживача на оплату телекомунікаційних послуг на 2021 рік. Остаточна сума за договором становитиме </w:t>
      </w:r>
      <w:r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69 950,00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(шістдесят дев’ять тисяч дев’ятсот п’ятдесят гривень 00 копійок) з ПДВ.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Внести відповідні зміни до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Договору на офіційному майданчику Прозоро.</w:t>
      </w:r>
    </w:p>
    <w:p w:rsidR="0004595B" w:rsidRPr="0004595B" w:rsidRDefault="0004595B" w:rsidP="0004595B">
      <w:pPr>
        <w:pStyle w:val="Default"/>
        <w:ind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2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 Про намір укладання Договору №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110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від 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.0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.2021 р. з </w:t>
      </w:r>
      <w:r w:rsidRPr="0004595B">
        <w:rPr>
          <w:rFonts w:asciiTheme="majorHAnsi" w:hAnsiTheme="majorHAnsi" w:cstheme="majorHAnsi"/>
          <w:bCs/>
          <w:sz w:val="22"/>
          <w:szCs w:val="22"/>
        </w:rPr>
        <w:t>ТОВАРИСТВО</w:t>
      </w:r>
      <w:r w:rsidRPr="0004595B">
        <w:rPr>
          <w:rFonts w:asciiTheme="majorHAnsi" w:hAnsiTheme="majorHAnsi" w:cstheme="majorHAnsi"/>
          <w:bCs/>
          <w:sz w:val="22"/>
          <w:szCs w:val="22"/>
          <w:lang w:val="uk-UA"/>
        </w:rPr>
        <w:t xml:space="preserve">М </w:t>
      </w:r>
      <w:r w:rsidRPr="0004595B">
        <w:rPr>
          <w:rFonts w:asciiTheme="majorHAnsi" w:hAnsiTheme="majorHAnsi" w:cstheme="majorHAnsi"/>
          <w:bCs/>
          <w:sz w:val="22"/>
          <w:szCs w:val="22"/>
        </w:rPr>
        <w:t xml:space="preserve"> З ОБМЕЖЕНОЮ ВІДПОВІДАЛЬНІСТЮ «ВІВО ГРУП»</w:t>
      </w:r>
      <w:r w:rsidRPr="000459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 xml:space="preserve">послуг з ремонту і технічного обслуговування системи опалення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на суму </w:t>
      </w:r>
      <w:r w:rsidRPr="0004595B">
        <w:rPr>
          <w:rFonts w:asciiTheme="majorHAnsi" w:hAnsiTheme="majorHAnsi" w:cstheme="majorHAnsi"/>
          <w:b/>
          <w:sz w:val="22"/>
          <w:szCs w:val="22"/>
          <w:shd w:val="clear" w:color="auto" w:fill="FDFEFD"/>
        </w:rPr>
        <w:t>12`996.00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  <w:lang w:val="uk-UA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  <w:lang w:val="uk-UA"/>
        </w:rPr>
        <w:t>грн. 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(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дванадцять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тисяч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дев’ятсот дев’яносто шість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грн.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00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коп.) з ПДВ згідно ДК 021:2015 код </w:t>
      </w:r>
      <w:r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 </w:t>
      </w:r>
      <w:r w:rsidRPr="0004595B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50800000-3</w:t>
      </w:r>
      <w:r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</w:t>
      </w:r>
      <w:r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  <w:lang w:val="uk-UA"/>
        </w:rPr>
        <w:t>«</w:t>
      </w:r>
      <w:r w:rsidRPr="0004595B">
        <w:rPr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DFEFD"/>
        </w:rPr>
        <w:t>Послуги з різних видів ремонту і технічного обслуговування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». Договір потрібно оприлюднити на офіційному майданчику Прозоро.</w:t>
      </w:r>
    </w:p>
    <w:p w:rsidR="0004595B" w:rsidRDefault="0004595B" w:rsidP="00A963A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2"/>
          <w:szCs w:val="22"/>
        </w:rPr>
      </w:pPr>
    </w:p>
    <w:p w:rsidR="007A780A" w:rsidRPr="00E07640" w:rsidRDefault="007A780A" w:rsidP="00A963A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2"/>
          <w:szCs w:val="22"/>
        </w:rPr>
      </w:pPr>
      <w:r w:rsidRPr="00E07640">
        <w:rPr>
          <w:rFonts w:cstheme="majorHAnsi"/>
          <w:b w:val="0"/>
          <w:color w:val="auto"/>
          <w:sz w:val="22"/>
          <w:szCs w:val="22"/>
        </w:rPr>
        <w:t>УХВАЛИЛИ:</w:t>
      </w:r>
    </w:p>
    <w:p w:rsidR="0004595B" w:rsidRPr="00E07640" w:rsidRDefault="0004595B" w:rsidP="0004595B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1. Укласти Додатков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у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угод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у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№ 2 від 09.09.2021 р. до Договору №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uk-UA"/>
        </w:rPr>
        <w:t xml:space="preserve">2122160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від 10.02.2012 р. з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Акціонерним товариством «Укртелеком»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  <w:lang w:val="uk-UA"/>
        </w:rPr>
        <w:t xml:space="preserve">щодо 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збільшення суми договору на </w:t>
      </w:r>
      <w:r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20450,00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(початкова сума договору становила </w:t>
      </w:r>
      <w:r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49500,00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грн.) у</w:t>
      </w:r>
      <w:r w:rsidRPr="00E07640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зв’язку зі </w:t>
      </w:r>
      <w:r w:rsidRPr="00E07640">
        <w:rPr>
          <w:rFonts w:asciiTheme="majorHAnsi" w:hAnsiTheme="majorHAnsi" w:cstheme="majorHAnsi"/>
          <w:bCs/>
          <w:sz w:val="22"/>
          <w:szCs w:val="22"/>
          <w:lang w:val="uk-UA"/>
        </w:rPr>
        <w:t>збільшенням</w:t>
      </w:r>
      <w:r w:rsidRPr="00E07640">
        <w:rPr>
          <w:rFonts w:asciiTheme="majorHAnsi" w:hAnsiTheme="majorHAnsi" w:cstheme="majorHAnsi"/>
          <w:b/>
          <w:bCs/>
          <w:sz w:val="22"/>
          <w:szCs w:val="22"/>
          <w:lang w:val="uk-UA"/>
        </w:rPr>
        <w:t xml:space="preserve"> </w:t>
      </w:r>
      <w:r w:rsidRPr="00E07640">
        <w:rPr>
          <w:rFonts w:asciiTheme="majorHAnsi" w:hAnsiTheme="majorHAnsi" w:cstheme="majorHAnsi"/>
          <w:sz w:val="22"/>
          <w:szCs w:val="22"/>
          <w:lang w:val="uk-UA"/>
        </w:rPr>
        <w:t xml:space="preserve">потреб Споживача на оплату телекомунікаційних послуг на 2021 рік. Остаточна сума за договором становитиме </w:t>
      </w:r>
      <w:r w:rsidRPr="00E07640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  <w:lang w:val="uk-UA"/>
        </w:rPr>
        <w:t>69 950,00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грн. (шістдесят дев’ять тисяч дев’ятсот п’ятдесят гривень 00 копійок) з ПДВ.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Pr="00E0764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uk-UA"/>
        </w:rPr>
        <w:t xml:space="preserve">Внести відповідні зміни до 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Договору на офіційному майданчику Прозоро.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07640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E07640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07640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E07640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07640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E07640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>Маєвський О.О. – «</w:t>
      </w:r>
      <w:r>
        <w:rPr>
          <w:rFonts w:asciiTheme="majorHAnsi" w:hAnsiTheme="majorHAnsi" w:cstheme="majorHAnsi"/>
          <w:sz w:val="22"/>
          <w:szCs w:val="22"/>
        </w:rPr>
        <w:t>відпустка</w:t>
      </w:r>
      <w:r w:rsidRPr="00E07640">
        <w:rPr>
          <w:rFonts w:asciiTheme="majorHAnsi" w:hAnsiTheme="majorHAnsi" w:cstheme="majorHAnsi"/>
          <w:sz w:val="22"/>
          <w:szCs w:val="22"/>
        </w:rPr>
        <w:t>»;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>Захарова Л.О. – «</w:t>
      </w:r>
      <w:r>
        <w:rPr>
          <w:rFonts w:asciiTheme="majorHAnsi" w:hAnsiTheme="majorHAnsi" w:cstheme="majorHAnsi"/>
          <w:sz w:val="22"/>
          <w:szCs w:val="22"/>
        </w:rPr>
        <w:t>відпустка</w:t>
      </w:r>
      <w:r w:rsidRPr="00E07640">
        <w:rPr>
          <w:rFonts w:asciiTheme="majorHAnsi" w:hAnsiTheme="majorHAnsi" w:cstheme="majorHAnsi"/>
          <w:sz w:val="22"/>
          <w:szCs w:val="22"/>
        </w:rPr>
        <w:t xml:space="preserve">». 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07640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04595B" w:rsidRDefault="0004595B" w:rsidP="0004595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04595B" w:rsidRDefault="0004595B" w:rsidP="0004595B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E076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Укласти Договір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№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110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09.09.2021 р. з </w:t>
      </w:r>
      <w:r w:rsidRPr="0004595B">
        <w:rPr>
          <w:rFonts w:asciiTheme="majorHAnsi" w:hAnsiTheme="majorHAnsi" w:cstheme="majorHAnsi"/>
          <w:bCs/>
          <w:sz w:val="22"/>
          <w:szCs w:val="22"/>
        </w:rPr>
        <w:t>ТОВАРИСТВОМ  З ОБМЕЖЕНОЮ ВІДПОВІДАЛЬНІСТЮ «ВІВО ГРУП»</w:t>
      </w:r>
      <w:r w:rsidRPr="000459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Pr="0004595B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послуг з 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</w:rPr>
        <w:t xml:space="preserve">ремонту і </w:t>
      </w:r>
      <w:r w:rsidRPr="0004595B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технічного обслуговування </w:t>
      </w:r>
      <w:r w:rsidRPr="0004595B">
        <w:rPr>
          <w:rFonts w:asciiTheme="majorHAnsi" w:hAnsiTheme="majorHAnsi" w:cstheme="majorHAnsi"/>
          <w:sz w:val="22"/>
          <w:szCs w:val="22"/>
          <w:shd w:val="clear" w:color="auto" w:fill="FDFEFD"/>
        </w:rPr>
        <w:t>системи опалення</w:t>
      </w:r>
      <w:r w:rsidRPr="0004595B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Pr="0004595B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DFEFD"/>
        </w:rPr>
        <w:t>12`996.00</w:t>
      </w:r>
      <w:r w:rsidRPr="0004595B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дванадцять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тисяч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дев’ятсот дев’яносто шість 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00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коп.) з ПДВ згідно ДК 021:2015 код </w:t>
      </w:r>
      <w:r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Pr="0004595B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50800000-3</w:t>
      </w:r>
      <w:r w:rsidRPr="0004595B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Pr="0004595B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різних видів ремонту і технічного обслуговування</w:t>
      </w:r>
      <w:r w:rsidRPr="0004595B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>Результати голосування членів тендерного комітету: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07640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E07640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07640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E07640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E07640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E07640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>Маєвський О.О. – «</w:t>
      </w:r>
      <w:r>
        <w:rPr>
          <w:rFonts w:asciiTheme="majorHAnsi" w:hAnsiTheme="majorHAnsi" w:cstheme="majorHAnsi"/>
          <w:sz w:val="22"/>
          <w:szCs w:val="22"/>
        </w:rPr>
        <w:t>відпустка</w:t>
      </w:r>
      <w:r w:rsidRPr="00E07640">
        <w:rPr>
          <w:rFonts w:asciiTheme="majorHAnsi" w:hAnsiTheme="majorHAnsi" w:cstheme="majorHAnsi"/>
          <w:sz w:val="22"/>
          <w:szCs w:val="22"/>
        </w:rPr>
        <w:t>»;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>Захарова Л.О. – «</w:t>
      </w:r>
      <w:r>
        <w:rPr>
          <w:rFonts w:asciiTheme="majorHAnsi" w:hAnsiTheme="majorHAnsi" w:cstheme="majorHAnsi"/>
          <w:sz w:val="22"/>
          <w:szCs w:val="22"/>
        </w:rPr>
        <w:t>відпустка</w:t>
      </w:r>
      <w:r w:rsidRPr="00E07640">
        <w:rPr>
          <w:rFonts w:asciiTheme="majorHAnsi" w:hAnsiTheme="majorHAnsi" w:cstheme="majorHAnsi"/>
          <w:sz w:val="22"/>
          <w:szCs w:val="22"/>
        </w:rPr>
        <w:t xml:space="preserve">». </w:t>
      </w:r>
    </w:p>
    <w:p w:rsidR="0004595B" w:rsidRPr="00E07640" w:rsidRDefault="0004595B" w:rsidP="0004595B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07640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04595B" w:rsidRDefault="0004595B" w:rsidP="00A963A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7A780A" w:rsidRPr="00E07640" w:rsidRDefault="0004595B" w:rsidP="00A963A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bookmarkStart w:id="0" w:name="_GoBack"/>
      <w:bookmarkEnd w:id="0"/>
      <w:r w:rsidR="007A780A" w:rsidRPr="00E07640">
        <w:rPr>
          <w:rFonts w:asciiTheme="majorHAnsi" w:hAnsiTheme="majorHAnsi" w:cstheme="majorHAnsi"/>
          <w:sz w:val="22"/>
          <w:szCs w:val="22"/>
        </w:rPr>
        <w:t xml:space="preserve">. Секретарю тендерного комітету </w:t>
      </w:r>
      <w:proofErr w:type="spellStart"/>
      <w:r w:rsidR="007A780A" w:rsidRPr="00E07640">
        <w:rPr>
          <w:rFonts w:asciiTheme="majorHAnsi" w:hAnsiTheme="majorHAnsi" w:cstheme="majorHAnsi"/>
          <w:sz w:val="22"/>
          <w:szCs w:val="22"/>
        </w:rPr>
        <w:t>Артамонову</w:t>
      </w:r>
      <w:proofErr w:type="spellEnd"/>
      <w:r w:rsidR="007A780A" w:rsidRPr="00E07640">
        <w:rPr>
          <w:rFonts w:asciiTheme="majorHAnsi" w:hAnsiTheme="majorHAnsi" w:cstheme="majorHAnsi"/>
          <w:sz w:val="22"/>
          <w:szCs w:val="22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7A780A" w:rsidRPr="00E07640" w:rsidRDefault="007A780A" w:rsidP="00A963A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7A780A" w:rsidRPr="00E07640" w:rsidRDefault="007A780A" w:rsidP="00A963A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A780A" w:rsidRPr="00E07640" w:rsidTr="007A780A">
        <w:tc>
          <w:tcPr>
            <w:tcW w:w="6204" w:type="dxa"/>
            <w:hideMark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Голова тендерного комітету</w:t>
            </w:r>
          </w:p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Інституту історії України НАН України,</w:t>
            </w:r>
          </w:p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професор, доктор історичних наук,</w:t>
            </w:r>
          </w:p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 xml:space="preserve">Г.В. </w:t>
            </w:r>
            <w:proofErr w:type="spellStart"/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Боряк</w:t>
            </w:r>
            <w:proofErr w:type="spellEnd"/>
          </w:p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A780A" w:rsidRPr="00E07640" w:rsidRDefault="007A780A" w:rsidP="00A963A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A780A" w:rsidRPr="00E07640" w:rsidTr="007A780A">
        <w:tc>
          <w:tcPr>
            <w:tcW w:w="6204" w:type="dxa"/>
            <w:hideMark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 xml:space="preserve">М.П. </w:t>
            </w:r>
            <w:proofErr w:type="spellStart"/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Рудь</w:t>
            </w:r>
            <w:proofErr w:type="spellEnd"/>
          </w:p>
        </w:tc>
      </w:tr>
    </w:tbl>
    <w:p w:rsidR="007A780A" w:rsidRPr="00E07640" w:rsidRDefault="007A780A" w:rsidP="00A963A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A780A" w:rsidRPr="00E07640" w:rsidTr="007A780A">
        <w:tc>
          <w:tcPr>
            <w:tcW w:w="6204" w:type="dxa"/>
            <w:hideMark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07640">
              <w:rPr>
                <w:rFonts w:asciiTheme="majorHAnsi" w:hAnsiTheme="majorHAnsi" w:cstheme="majorHAnsi"/>
                <w:sz w:val="22"/>
                <w:szCs w:val="22"/>
              </w:rPr>
              <w:t xml:space="preserve">О.О. </w:t>
            </w:r>
            <w:proofErr w:type="spellStart"/>
            <w:r w:rsidRPr="00E07640">
              <w:rPr>
                <w:rFonts w:asciiTheme="majorHAnsi" w:hAnsiTheme="majorHAnsi" w:cstheme="majorHAnsi"/>
                <w:sz w:val="22"/>
                <w:szCs w:val="22"/>
              </w:rPr>
              <w:t>Артамонов</w:t>
            </w:r>
            <w:proofErr w:type="spellEnd"/>
          </w:p>
        </w:tc>
      </w:tr>
    </w:tbl>
    <w:p w:rsidR="007A780A" w:rsidRPr="00E07640" w:rsidRDefault="007A780A" w:rsidP="00A963A1">
      <w:pPr>
        <w:jc w:val="both"/>
        <w:rPr>
          <w:rFonts w:asciiTheme="majorHAnsi" w:hAnsiTheme="majorHAnsi" w:cstheme="majorHAnsi"/>
          <w:sz w:val="22"/>
          <w:szCs w:val="22"/>
        </w:rPr>
      </w:pPr>
      <w:r w:rsidRPr="00E07640">
        <w:rPr>
          <w:rFonts w:asciiTheme="majorHAnsi" w:hAnsiTheme="majorHAnsi" w:cstheme="majorHAnsi"/>
          <w:sz w:val="22"/>
          <w:szCs w:val="22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A780A" w:rsidRPr="00E07640" w:rsidTr="007A780A">
        <w:tc>
          <w:tcPr>
            <w:tcW w:w="6204" w:type="dxa"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A780A" w:rsidRPr="00E07640" w:rsidRDefault="007A780A" w:rsidP="00A963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A780A" w:rsidRPr="00E07640" w:rsidRDefault="007A780A" w:rsidP="00A963A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54D9D" w:rsidRPr="00E07640" w:rsidRDefault="00554D9D" w:rsidP="00A963A1">
      <w:pPr>
        <w:rPr>
          <w:rFonts w:asciiTheme="majorHAnsi" w:hAnsiTheme="majorHAnsi" w:cstheme="majorHAnsi"/>
          <w:sz w:val="22"/>
          <w:szCs w:val="22"/>
        </w:rPr>
      </w:pPr>
    </w:p>
    <w:sectPr w:rsidR="00554D9D" w:rsidRPr="00E0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A"/>
    <w:rsid w:val="0004595B"/>
    <w:rsid w:val="00554D9D"/>
    <w:rsid w:val="007A780A"/>
    <w:rsid w:val="00A963A1"/>
    <w:rsid w:val="00C02DE1"/>
    <w:rsid w:val="00E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780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7A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780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7A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A8EC-254F-4E4D-B111-D17F5449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2021-09-09T11:23:00Z</dcterms:created>
  <dcterms:modified xsi:type="dcterms:W3CDTF">2021-09-09T12:01:00Z</dcterms:modified>
</cp:coreProperties>
</file>